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PRIMORSKO - GORANSKA ŽUPANIJA</w:t>
      </w: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C5BDD" w:rsidRDefault="006B4728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T R I B A L J</w:t>
      </w: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5BDD" w:rsidRPr="00F15B57" w:rsidRDefault="006B4728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KLASA:112-02/23-01/7</w:t>
      </w:r>
    </w:p>
    <w:p w:rsidR="006C5BDD" w:rsidRDefault="006B4728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6C5BDD">
        <w:rPr>
          <w:rFonts w:ascii="Times New Roman" w:eastAsia="Times New Roman" w:hAnsi="Times New Roman"/>
          <w:sz w:val="24"/>
          <w:szCs w:val="24"/>
          <w:lang w:eastAsia="hr-HR"/>
        </w:rPr>
        <w:t>-23-1</w:t>
      </w: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5BDD" w:rsidRPr="00F15B57" w:rsidRDefault="006B4728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6C5BDD"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="006C5BDD"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studeni</w:t>
      </w:r>
      <w:r w:rsidR="006C5BDD"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5BDD" w:rsidRPr="00F15B57" w:rsidRDefault="006C5BDD" w:rsidP="006C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</w:t>
      </w:r>
      <w:r w:rsidRPr="000A0855">
        <w:rPr>
          <w:rFonts w:ascii="Times New Roman" w:eastAsia="Times New Roman" w:hAnsi="Times New Roman"/>
          <w:sz w:val="24"/>
          <w:szCs w:val="24"/>
          <w:lang w:eastAsia="hr-HR"/>
        </w:rPr>
        <w:t>NN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) i Pravilnika o načinu i postupku zapošljavanja ravnatelj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u produženom boravku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puno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radno vrijeme od 40 sati ukupnog tjednog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radnog vremena.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6C5BDD" w:rsidRPr="00F15B57" w:rsidRDefault="006C5BDD" w:rsidP="006C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pored općih uvjeta za zasnivanje radnog odnosa, sukladno općim propisima o radu, kandidati moraju ispunjavati i posebne uvjete utvrđene člankom 105. Zakona o odgoju i obrazovanju u osnovnoj i srednjoj školi  (</w:t>
      </w:r>
      <w:r w:rsidRPr="000A0855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broj</w:t>
      </w:r>
      <w:r w:rsidRP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te uvjete utvrđene člankom 4. Pravilnika o odgovarajućoj vrsti obrazovanja učitelja i stručnih suradnika u osnovnoj školi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NN broj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6B4728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su obvezni pristupiti prethodnoj provjeri znanja i sposobnosti putem testiranja i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intervjua. Ako kandidat ne pristupi prethodnoj provjeri znanja i sposobnosti smatrat će se da je povukao prijavu na natječaj.</w:t>
      </w:r>
    </w:p>
    <w:p w:rsidR="00FC3B81" w:rsidRDefault="00F825DD" w:rsidP="006B4728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6B4728" w:rsidRPr="006B4728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 w:rsidR="006B4728"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21, 51243 </w:t>
      </w:r>
      <w:proofErr w:type="spellStart"/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u produženom boravku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6B472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6B4728"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Vilma R</w:t>
      </w:r>
      <w:bookmarkStart w:id="0" w:name="_GoBack"/>
      <w:bookmarkEnd w:id="0"/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 xml:space="preserve">enate Car </w:t>
      </w:r>
      <w:proofErr w:type="spellStart"/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6B4728"/>
    <w:p w:rsidR="006C5BDD" w:rsidRDefault="006C5BDD"/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 xml:space="preserve"> na oglasnoj ploči Škole dana 14.11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 godine</w:t>
      </w:r>
    </w:p>
    <w:p w:rsidR="006C5BDD" w:rsidRDefault="006C5BDD" w:rsidP="006C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Objavljeno na </w:t>
      </w:r>
      <w:r w:rsidR="006B4728">
        <w:rPr>
          <w:rFonts w:ascii="Times New Roman" w:eastAsia="Times New Roman" w:hAnsi="Times New Roman"/>
          <w:sz w:val="24"/>
          <w:szCs w:val="24"/>
          <w:lang w:eastAsia="hr-HR"/>
        </w:rPr>
        <w:t>mrežnima stranicama Škole dana 14.11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.2023.godine</w:t>
      </w:r>
    </w:p>
    <w:p w:rsidR="006C5BDD" w:rsidRDefault="006C5BDD"/>
    <w:sectPr w:rsidR="006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226AFF"/>
    <w:rsid w:val="00447A50"/>
    <w:rsid w:val="004F437C"/>
    <w:rsid w:val="005F21ED"/>
    <w:rsid w:val="00694991"/>
    <w:rsid w:val="006B4728"/>
    <w:rsid w:val="006C5BDD"/>
    <w:rsid w:val="00720460"/>
    <w:rsid w:val="008A7712"/>
    <w:rsid w:val="00AB4ACE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FC72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12</cp:revision>
  <cp:lastPrinted>2023-11-14T09:21:00Z</cp:lastPrinted>
  <dcterms:created xsi:type="dcterms:W3CDTF">2022-10-19T06:44:00Z</dcterms:created>
  <dcterms:modified xsi:type="dcterms:W3CDTF">2023-11-14T09:23:00Z</dcterms:modified>
</cp:coreProperties>
</file>